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 standalone="yes"?>
<w:document xmlns:w="http://schemas.openxmlformats.org/wordprocessingml/2006/main">
  <w:body>
    <w:p><w:pPr><w:spacing w:after="120"/><w:pStyle w:val="Title"/></w:pPr><w:r><w:rPr></w:rPr><w:t xml:space="preserve">Comprehensive Dental Portfolio Case Outline</w:t></w:r></w:p><w:p><w:pPr><w:spacing w:after="120"/><w:pStyle w:val="Subtitle"/></w:pPr><w:r><w:rPr></w:rPr><w:t xml:space="preserve">Standardized 6-Slide Clinical Presentation Template for Associateship Applications, Residency Documentation, & Board Review</w:t></w:r></w:p><w:p><w:pPr><w:spacing w:after="300"/></w:pPr><w:r><w:rPr><w:b/><w:color w:val="7C3AED"/></w:rPr><w:t xml:space="preserve">Provided by Esthetix (esthetix.app) — Free Clinical Resource</w:t></w:r></w:p><w:p><w:pPr><w:spacing w:after="120"/><w:pStyle w:val="Heading1"/></w:pPr><w:r><w:rPr></w:rPr><w:t xml:space="preserve">SLIDE 1: Case Overview &amp; Patient Presentation</w:t></w:r></w:p><w:p><w:pPr><w:spacing w:after="120"/></w:pPr><w:r><w:rPr><w:i/><w:color w:val="6B7280"/></w:rPr><w:t xml:space="preserve">Purpose: Establish the patient's baseline, clinical complaint, and risk factors while strictly preserving patient privacy under HIPAA.</w:t></w:r></w:p><w:p><w:pPr><w:spacing w:after="100"/><w:ind w:left="480" w:hanging="240"/></w:pPr><w:r><w:rPr><w:color w:val="7C3AED"/><w:b/></w:rPr><w:t xml:space="preserve">&#8226;  </w:t></w:r>
          <w:r><w:rPr><w:b/><w:color w:val="111827"/></w:rPr><w:t xml:space="preserve">Case Title: </w:t></w:r>
          <w:r><w:rPr><w:color w:val="374151"/></w:rPr><w:t xml:space="preserve">[e.g., Anterior Ceramic Laminate Veneers &amp; Minimally Invasive Smile Rehabilitation]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Patient Profile: </w:t></w:r>
          <w:r><w:rPr><w:color w:val="374151"/></w:rPr><w:t xml:space="preserve">[De-identified: Age, Gender, ASA status — e.g., Male, 42 years old, ASA I]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Chief Complaint: </w:t></w:r>
          <w:r><w:rPr><w:color w:val="374151"/></w:rPr><w:t xml:space="preserve">"I want to fix the chipped, worn edges and dark discoloration of my front teeth before my wedding." (Record in patient's own words)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Medical History: </w:t></w:r>
          <w:r><w:rPr><w:color w:val="374151"/></w:rPr><w:t xml:space="preserve">Non-smoker, no systemic conditions, no medications that impact bleeding or bone metabolism.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Dental History: </w:t></w:r>
          <w:r><w:rPr><w:color w:val="374151"/></w:rPr><w:t xml:space="preserve">History of nocturnal bruxism, mild anterior crowding, healthy periodontal status with probing depths 1-3mm.</w:t></w:r>
        </w:p><w:p><w:pPr><w:spacing w:after="120"/><w:pStyle w:val="Heading1"/></w:pPr><w:r><w:rPr></w:rPr><w:t xml:space="preserve">SLIDE 2: Pre-Operative Diagnostic Evaluation</w:t></w:r></w:p><w:p><w:pPr><w:spacing w:after="120"/></w:pPr><w:r><w:rPr><w:i/><w:color w:val="6B7280"/></w:rPr><w:t xml:space="preserve">Purpose: Prove clinical thoroughness through standardized photographic, radiographic, and occlusal records.</w:t></w:r></w:p><w:p><w:pPr><w:spacing w:after="100"/><w:ind w:left="480" w:hanging="240"/></w:pPr><w:r><w:rPr><w:color w:val="7C3AED"/><w:b/></w:rPr><w:t xml:space="preserve">&#8226;  </w:t></w:r>
          <w:r><w:rPr><w:b/><w:color w:val="111827"/></w:rPr><w:t xml:space="preserve">Photographic Protocol (AACD 12-View Series): </w:t></w:r>
          <w:r><w:rPr><w:color w:val="374151"/></w:rPr><w:t xml:space="preserve">1:10 full face at rest/smile, 1:2 retracted frontal in MIP &amp; incisal separation, 1:2 lateral views, and 1:1 anterior occlusal mirrors.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Radiographic Survey: </w:t></w:r>
          <w:r><w:rPr><w:color w:val="374151"/></w:rPr><w:t xml:space="preserve">Full mouth series (FMX) and bitewings confirming intact crestal bone height, absent periapical pathosis, and crown-to-root ratios.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Periodontal Assessment: </w:t></w:r>
          <w:r><w:rPr><w:color w:val="374151"/></w:rPr><w:t xml:space="preserve">Gingival biotype (thin vs. thick scalloped), keratinized tissue width (KTW), presence of inflammation or recession.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Functional &amp; Occlusal Analysis: </w:t></w:r>
          <w:r><w:rPr><w:color w:val="374151"/></w:rPr><w:t xml:space="preserve">Centric Relation (CR) vs. Maximum Intercuspation (MIP), canine guidance vs. group function, presence of excursive interferences.</w:t></w:r>
        </w:p><w:p><w:pPr><w:spacing w:after="120"/><w:pStyle w:val="Heading1"/></w:pPr><w:r><w:rPr></w:rPr><w:t xml:space="preserve">SLIDE 3: Treatment Objectives &amp; Esthetic Blueprint</w:t></w:r></w:p><w:p><w:pPr><w:spacing w:after="120"/></w:pPr><w:r><w:rPr><w:i/><w:color w:val="6B7280"/></w:rPr><w:t xml:space="preserve">Purpose: Detail the problem list and show how you designed the outcome before irreversible tooth reduction.</w:t></w:r></w:p><w:p><w:pPr><w:spacing w:after="100"/><w:ind w:left="480" w:hanging="240"/></w:pPr><w:r><w:rPr><w:color w:val="7C3AED"/><w:b/></w:rPr><w:t xml:space="preserve">&#8226;  </w:t></w:r>
          <w:r><w:rPr><w:b/><w:color w:val="111827"/></w:rPr><w:t xml:space="preserve">Clinical Problem List: </w:t></w:r>
          <w:r><w:rPr><w:color w:val="374151"/></w:rPr><w:t xml:space="preserve">1. Loss of incisal edge display (1.5mm negative smile line). 2. Asymmetric gingival zeniths (#8 vs #9). 3. Discolored composite restorations.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Treatment Objectives: </w:t></w:r>
          <w:r><w:rPr><w:color w:val="374151"/></w:rPr><w:t xml:space="preserve">Restore 1.5mm incisal length, recontour gingival zenith on #9, and bond 6 minimally invasive lithium disilicate veneers (#6-#11).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Diagnostic Wax-Up &amp; Mock-Up: </w:t></w:r>
          <w:r><w:rPr><w:color w:val="374151"/></w:rPr><w:t xml:space="preserve">Additive digital/analog diagnostic wax-up transferred intraorally with bis-acryl resin. Evaluated with patient for phonetics ('F' and 'V' sounds), lip support, and aesthetics.</w:t></w:r>
        </w:p><w:p><w:pPr><w:spacing w:after="120"/><w:pStyle w:val="Heading1"/></w:pPr><w:r><w:rPr></w:rPr><w:t xml:space="preserve">SLIDE 4: Clinical Execution &amp; Intraoperative Protocol</w:t></w:r></w:p><w:p><w:pPr><w:spacing w:after="120"/></w:pPr><w:r><w:rPr><w:i/><w:color w:val="6B7280"/></w:rPr><w:t xml:space="preserve">Purpose: What hiring principals care about most — precision, enamel preservation, isolation, and biological tissue respect.</w:t></w:r></w:p><w:p><w:pPr><w:spacing w:after="100"/><w:ind w:left="480" w:hanging="240"/></w:pPr><w:r><w:rPr><w:color w:val="7C3AED"/><w:b/></w:rPr><w:t xml:space="preserve">&#8226;  </w:t></w:r>
          <w:r><w:rPr><w:b/><w:color w:val="111827"/></w:rPr><w:t xml:space="preserve">Preparation Protocol: </w:t></w:r>
          <w:r><w:rPr><w:color w:val="374151"/></w:rPr><w:t xml:space="preserve">Depth-limiting diamond cuts (0.3mm cervical, 0.5mm facial, 1.0mm incisal) placed directly through mock-up. &gt;85% enamel retained. Equigingival chamfers.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Isolation Technique: </w:t></w:r>
          <w:r><w:rPr><w:color w:val="374151"/></w:rPr><w:t xml:space="preserve">Complete rubber dam isolation with invaginated Teflon tape for proximal tooth protection.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Soft Tissue Management: </w:t></w:r>
          <w:r><w:rPr><w:color w:val="374151"/></w:rPr><w:t xml:space="preserve">Single braided cord (#00) technique for atraumatic gingival retraction and clear scan margin capture.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Provisional Phase: </w:t></w:r>
          <w:r><w:rPr><w:color w:val="374151"/></w:rPr><w:t xml:space="preserve">Spot-etched bis-acryl temporaries worn for 2 weeks to test speech, function, and comfort.</w:t></w:r>
        </w:p><w:p><w:pPr><w:spacing w:after="120"/><w:pStyle w:val="Heading1"/></w:pPr><w:r><w:rPr></w:rPr><w:t xml:space="preserve">SLIDE 5: Definitive Delivery &amp; Verified Outcome</w:t></w:r></w:p><w:p><w:pPr><w:spacing w:after="120"/></w:pPr><w:r><w:rPr><w:i/><w:color w:val="6B7280"/></w:rPr><w:t xml:space="preserve">Purpose: Document flawless adhesive delivery, precise shade integration, and verified occlusal clearance.</w:t></w:r></w:p><w:p><w:pPr><w:spacing w:after="100"/><w:ind w:left="480" w:hanging="240"/></w:pPr><w:r><w:rPr><w:color w:val="7C3AED"/><w:b/></w:rPr><w:t xml:space="preserve">&#8226;  </w:t></w:r>
          <w:r><w:rPr><w:b/><w:color w:val="111827"/></w:rPr><w:t xml:space="preserve">Laboratory Ceramics: </w:t></w:r>
          <w:r><w:rPr><w:color w:val="374151"/></w:rPr><w:t xml:space="preserve">IPS e.max lithium disilicate veneers (LT BL2/A1 gradient) with hand-layered incisal translucency.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Adhesive Protocol: </w:t></w:r>
          <w:r><w:rPr><w:color w:val="374151"/></w:rPr><w:t xml:space="preserve">5% HF acid etch (20 sec), silane coupling (60 sec), 35% phosphoric acid enamel etch, light-cure resin cement seated under rubber dam with glycerin barrier.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Occlusion &amp; Verification: </w:t></w:r>
          <w:r><w:rPr><w:color w:val="374151"/></w:rPr><w:t xml:space="preserve">Bilateral shimstock contacts in MIP; clear disclusion of posterior teeth in canine guidance and protrusion.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Documentation: </w:t></w:r>
          <w:r><w:rPr><w:color w:val="374151"/></w:rPr><w:t xml:space="preserve">Matched 1:2 retracted frontal, 1:1 incisal close-up, and 1:10 full-face smile under standardized exposure.</w:t></w:r>
        </w:p><w:p><w:pPr><w:spacing w:after="120"/><w:pStyle w:val="Heading1"/></w:pPr><w:r><w:rPr></w:rPr><w:t xml:space="preserve">SLIDE 6: Follow-up &amp; Critical Clinical Appraisal</w:t></w:r></w:p><w:p><w:pPr><w:spacing w:after="120"/></w:pPr><w:r><w:rPr><w:i/><w:color w:val="6B7280"/></w:rPr><w:t xml:space="preserve">Purpose: Display clinical humility, complication management, and long-term recall commitment.</w:t></w:r></w:p><w:p><w:pPr><w:spacing w:after="100"/><w:ind w:left="480" w:hanging="240"/></w:pPr><w:r><w:rPr><w:color w:val="7C3AED"/><w:b/></w:rPr><w:t xml:space="preserve">&#8226;  </w:t></w:r>
          <w:r><w:rPr><w:b/><w:color w:val="111827"/></w:rPr><w:t xml:space="preserve">2-Week Soft Tissue Recall: </w:t></w:r>
          <w:r><w:rPr><w:color w:val="374151"/></w:rPr><w:t xml:space="preserve">Zero margin bleeding, complete papilla fill, healthy stippled gingiva. Delivery of maxillary nocturnal occlusal splint.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6-Month Recall: </w:t></w:r>
          <w:r><w:rPr><w:color w:val="374151"/></w:rPr><w:t xml:space="preserve">Marginal integrity verified, no ceramic fractures or delamination, patient reports full confidence.</w:t></w:r>
        </w:p><w:p><w:pPr><w:spacing w:after="100"/><w:ind w:left="480" w:hanging="240"/></w:pPr><w:r><w:rPr><w:color w:val="7C3AED"/><w:b/></w:rPr><w:t xml:space="preserve">&#8226;  </w:t></w:r>
          <w:r><w:rPr><w:b/><w:color w:val="111827"/></w:rPr><w:t xml:space="preserve">Self-Critique &amp; Reflection: </w:t></w:r>
          <w:r><w:rPr><w:color w:val="374151"/></w:rPr><w:t xml:space="preserve">What went smoothly: exceptional bonding substrate and shade match. What could be improved: slightly greater emergence profile on lateral incisor #7.</w:t></w:r>
        </w:p><w:p><w:pPr><w:spacing w:after="120"/></w:pPr></w:p><w:p><w:pPr><w:spacing w:after="200"/></w:pPr><w:r><w:rPr><w:i/><w:color w:val="4B5563"/></w:rPr><w:t xml:space="preserve">Tip for Associateship Applicants: Prepare this structure in PowerPoint, Keynote, or Google Slides. Practice speaking through each slide in 90 seconds (10 minutes total for 5 cases). Hiring partners will appreciate your structured clinical reasoning.</w:t></w:r>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color w:val="1F2937"/>
      </w:rPr>
    </w:rPrDefault>
  </w:docDefaults>
  <w:style w:type="paragraph" w:styleId="Title">
    <w:name w:val="Title"/>
    <w:pPr>
      <w:spacing w:before="0" w:after="120"/>
    </w:pPr>
    <w:rPr>
      <w:rFonts w:ascii="Calibri" w:hAnsi="Calibri"/>
      <w:b/>
      <w:sz w:val="48"/>
      <w:color w:val="311042"/>
    </w:rPr>
  </w:style>
  <w:style w:type="paragraph" w:styleId="Subtitle">
    <w:name w:val="Subtitle"/>
    <w:pPr>
      <w:spacing w:before="0" w:after="240"/>
    </w:pPr>
    <w:rPr>
      <w:rFonts w:ascii="Calibri" w:hAnsi="Calibri"/>
      <w:i/>
      <w:sz w:val="24"/>
      <w:color w:val="6B7280"/>
    </w:rPr>
  </w:style>
  <w:style w:type="paragraph" w:styleId="Heading1">
    <w:name w:val="heading 1"/>
    <w:pPr>
      <w:spacing w:before="240" w:after="120"/>
      <w:pBdr>
        <w:bottom w:val="single" w:sz="12" w:space="4" w:color="7C3AED"/>
      </w:pBdr>
    </w:pPr>
    <w:rPr>
      <w:rFonts w:ascii="Calibri" w:hAnsi="Calibri"/>
      <w:b/>
      <w:sz w:val="32"/>
      <w:color w:val="4C1D95"/>
    </w:rPr>
  </w:style>
  <w:style w:type="paragraph" w:styleId="Heading2">
    <w:name w:val="heading 2"/>
    <w:pPr>
      <w:spacing w:before="160" w:after="80"/>
    </w:pPr>
    <w:rPr>
      <w:rFonts w:ascii="Calibri" w:hAnsi="Calibri"/>
      <w:b/>
      <w:sz w:val="26"/>
      <w:color w:val="D97706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